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6"/>
        </w:rPr>
        <w:t>Paragraph-Level Review of Revised Chapters</w:t>
      </w:r>
    </w:p>
    <w:p>
      <w:pPr>
        <w:jc w:val="center"/>
      </w:pPr>
      <w:r>
        <w:rPr>
          <w:i/>
          <w:sz w:val="20"/>
        </w:rPr>
        <w:t>Source reviewed: Denny3.pdf</w:t>
      </w:r>
    </w:p>
    <w:p/>
    <w:p>
      <w:pPr>
        <w:pStyle w:val="Heading1"/>
      </w:pPr>
      <w:r>
        <w:t>Overall assessment</w:t>
      </w:r>
    </w:p>
    <w:p>
      <w:r>
        <w:t>The revision is substantially cleaner. The remaining substantive edits mostly concern a few local wording slips and several conceptual/technical clarifications.</w:t>
      </w:r>
    </w:p>
    <w:p>
      <w:r>
        <w:t>Highest priority: fix the appendix sentence that calls the left-most factor the posterior; correct the “second toss landing heads” typo; correct the expectation footnote in “What to Expect”; revise the surprise-lost numerical example so it does not imply arbitrary values of p(θ_1); and change the stopping-rule footnote so it refers to the observed stopping time or stopping probability, not the rule itself.</w:t>
      </w:r>
    </w:p>
    <w:p>
      <w:r>
        <w:t>Also worth fixing before circulation: “Oliviera e Silva” should be “Oliveira e Silva” in both text and bibliography; the Goldbach diminishing-returns sentence should say “incremental” evidential support; and the Jeffreys quotation on sample-size-dependent thresholds would benefit from a short translation paragraph.</w:t>
      </w:r>
    </w:p>
    <w:p>
      <w:r>
        <w:t>Paragraphs or sections for which I saw no needed change are omitted.</w:t>
      </w:r>
    </w:p>
    <w:p>
      <w:r>
        <w:rPr>
          <w:b/>
        </w:rPr>
        <w:t xml:space="preserve">Severity key: </w:t>
      </w:r>
      <w:r>
        <w:t>High = mathematical/content correction or high-priority precision issue; Medium = conceptual nuance, pedagogy, or qualification; Low = copy-edit, notation, style, or reference consistency; Optional = useful but not necessary.</w:t>
      </w:r>
    </w:p>
    <w:p>
      <w:pPr>
        <w:pStyle w:val="Heading1"/>
      </w:pPr>
      <w:r>
        <w:t>Highest-priority edits</w:t>
      </w:r>
    </w:p>
    <w:tbl>
      <w:tblPr>
        <w:tblStyle w:val="TableGrid"/>
        <w:tblW w:type="auto" w:w="0"/>
        <w:tblLook w:firstColumn="1" w:firstRow="1" w:lastColumn="0" w:lastRow="0" w:noHBand="0" w:noVBand="1" w:val="04A0"/>
      </w:tblPr>
      <w:tblGrid>
        <w:gridCol w:w="5040"/>
        <w:gridCol w:w="5040"/>
      </w:tblGrid>
      <w:tr>
        <w:tc>
          <w:tcPr>
            <w:tcW w:type="dxa" w:w="5040"/>
            <w:shd w:fill="D9EAF7"/>
          </w:tcPr>
          <w:p>
            <w:r>
              <w:rPr>
                <w:rFonts w:ascii="Aptos" w:hAnsi="Aptos"/>
                <w:sz w:val="18"/>
              </w:rPr>
            </w:r>
            <w:r>
              <w:rPr>
                <w:rFonts w:ascii="Aptos" w:hAnsi="Aptos"/>
                <w:b/>
                <w:sz w:val="18"/>
              </w:rPr>
              <w:t>ID</w:t>
            </w:r>
          </w:p>
        </w:tc>
        <w:tc>
          <w:tcPr>
            <w:tcW w:type="dxa" w:w="5040"/>
            <w:shd w:fill="D9EAF7"/>
          </w:tcPr>
          <w:p>
            <w:r>
              <w:rPr>
                <w:rFonts w:ascii="Aptos" w:hAnsi="Aptos"/>
                <w:sz w:val="18"/>
              </w:rPr>
            </w:r>
            <w:r>
              <w:rPr>
                <w:rFonts w:ascii="Aptos" w:hAnsi="Aptos"/>
                <w:b/>
                <w:sz w:val="18"/>
              </w:rPr>
              <w:t>Edit</w:t>
            </w:r>
          </w:p>
        </w:tc>
      </w:tr>
      <w:tr>
        <w:tc>
          <w:tcPr>
            <w:tcW w:type="dxa" w:w="5040"/>
          </w:tcPr>
          <w:p>
            <w:r>
              <w:rPr>
                <w:rFonts w:ascii="Aptos" w:hAnsi="Aptos"/>
                <w:sz w:val="18"/>
              </w:rPr>
            </w:r>
            <w:r>
              <w:rPr>
                <w:rFonts w:ascii="Aptos" w:hAnsi="Aptos"/>
                <w:b w:val="0"/>
                <w:sz w:val="18"/>
              </w:rPr>
              <w:t>C1-06</w:t>
            </w:r>
          </w:p>
        </w:tc>
        <w:tc>
          <w:tcPr>
            <w:tcW w:type="dxa" w:w="5040"/>
          </w:tcPr>
          <w:p>
            <w:r>
              <w:rPr>
                <w:rFonts w:ascii="Aptos" w:hAnsi="Aptos"/>
                <w:sz w:val="18"/>
              </w:rPr>
            </w:r>
            <w:r>
              <w:rPr>
                <w:rFonts w:ascii="Aptos" w:hAnsi="Aptos"/>
                <w:b w:val="0"/>
                <w:sz w:val="18"/>
              </w:rPr>
              <w:t>Surprise-lost example: “whatever p(θ_1) is”</w:t>
            </w:r>
          </w:p>
        </w:tc>
      </w:tr>
      <w:tr>
        <w:tc>
          <w:tcPr>
            <w:tcW w:type="dxa" w:w="5040"/>
          </w:tcPr>
          <w:p>
            <w:r>
              <w:rPr>
                <w:rFonts w:ascii="Aptos" w:hAnsi="Aptos"/>
                <w:sz w:val="18"/>
              </w:rPr>
            </w:r>
            <w:r>
              <w:rPr>
                <w:rFonts w:ascii="Aptos" w:hAnsi="Aptos"/>
                <w:b w:val="0"/>
                <w:sz w:val="18"/>
              </w:rPr>
              <w:t>C1-10</w:t>
            </w:r>
          </w:p>
        </w:tc>
        <w:tc>
          <w:tcPr>
            <w:tcW w:type="dxa" w:w="5040"/>
          </w:tcPr>
          <w:p>
            <w:r>
              <w:rPr>
                <w:rFonts w:ascii="Aptos" w:hAnsi="Aptos"/>
                <w:sz w:val="18"/>
              </w:rPr>
            </w:r>
            <w:r>
              <w:rPr>
                <w:rFonts w:ascii="Aptos" w:hAnsi="Aptos"/>
                <w:b w:val="0"/>
                <w:sz w:val="18"/>
              </w:rPr>
              <w:t>Second-toss typo in Ockham coin example</w:t>
            </w:r>
          </w:p>
        </w:tc>
      </w:tr>
      <w:tr>
        <w:tc>
          <w:tcPr>
            <w:tcW w:type="dxa" w:w="5040"/>
          </w:tcPr>
          <w:p>
            <w:r>
              <w:rPr>
                <w:rFonts w:ascii="Aptos" w:hAnsi="Aptos"/>
                <w:sz w:val="18"/>
              </w:rPr>
            </w:r>
            <w:r>
              <w:rPr>
                <w:rFonts w:ascii="Aptos" w:hAnsi="Aptos"/>
                <w:b w:val="0"/>
                <w:sz w:val="18"/>
              </w:rPr>
              <w:t>C1-13</w:t>
            </w:r>
          </w:p>
        </w:tc>
        <w:tc>
          <w:tcPr>
            <w:tcW w:type="dxa" w:w="5040"/>
          </w:tcPr>
          <w:p>
            <w:r>
              <w:rPr>
                <w:rFonts w:ascii="Aptos" w:hAnsi="Aptos"/>
                <w:sz w:val="18"/>
              </w:rPr>
            </w:r>
            <w:r>
              <w:rPr>
                <w:rFonts w:ascii="Aptos" w:hAnsi="Aptos"/>
                <w:b w:val="0"/>
                <w:sz w:val="18"/>
              </w:rPr>
              <w:t>Equation 1.9 explanation: θ should be ξ</w:t>
            </w:r>
          </w:p>
        </w:tc>
      </w:tr>
      <w:tr>
        <w:tc>
          <w:tcPr>
            <w:tcW w:type="dxa" w:w="5040"/>
          </w:tcPr>
          <w:p>
            <w:r>
              <w:rPr>
                <w:rFonts w:ascii="Aptos" w:hAnsi="Aptos"/>
                <w:sz w:val="18"/>
              </w:rPr>
            </w:r>
            <w:r>
              <w:rPr>
                <w:rFonts w:ascii="Aptos" w:hAnsi="Aptos"/>
                <w:b w:val="0"/>
                <w:sz w:val="18"/>
              </w:rPr>
              <w:t>C1-15</w:t>
            </w:r>
          </w:p>
        </w:tc>
        <w:tc>
          <w:tcPr>
            <w:tcW w:type="dxa" w:w="5040"/>
          </w:tcPr>
          <w:p>
            <w:r>
              <w:rPr>
                <w:rFonts w:ascii="Aptos" w:hAnsi="Aptos"/>
                <w:sz w:val="18"/>
              </w:rPr>
            </w:r>
            <w:r>
              <w:rPr>
                <w:rFonts w:ascii="Aptos" w:hAnsi="Aptos"/>
                <w:b w:val="0"/>
                <w:sz w:val="18"/>
              </w:rPr>
              <w:t>“What to Expect”: expectation is over p(data), not p(data | M)</w:t>
            </w:r>
          </w:p>
        </w:tc>
      </w:tr>
      <w:tr>
        <w:tc>
          <w:tcPr>
            <w:tcW w:type="dxa" w:w="5040"/>
          </w:tcPr>
          <w:p>
            <w:r>
              <w:rPr>
                <w:rFonts w:ascii="Aptos" w:hAnsi="Aptos"/>
                <w:sz w:val="18"/>
              </w:rPr>
            </w:r>
            <w:r>
              <w:rPr>
                <w:rFonts w:ascii="Aptos" w:hAnsi="Aptos"/>
                <w:b w:val="0"/>
                <w:sz w:val="18"/>
              </w:rPr>
              <w:t>C1-20</w:t>
            </w:r>
          </w:p>
        </w:tc>
        <w:tc>
          <w:tcPr>
            <w:tcW w:type="dxa" w:w="5040"/>
          </w:tcPr>
          <w:p>
            <w:r>
              <w:rPr>
                <w:rFonts w:ascii="Aptos" w:hAnsi="Aptos"/>
                <w:sz w:val="18"/>
              </w:rPr>
            </w:r>
            <w:r>
              <w:rPr>
                <w:rFonts w:ascii="Aptos" w:hAnsi="Aptos"/>
                <w:b w:val="0"/>
                <w:sz w:val="18"/>
              </w:rPr>
              <w:t>Appendix Eq. 1.12: left-most factor is not the posterior</w:t>
            </w:r>
          </w:p>
        </w:tc>
      </w:tr>
      <w:tr>
        <w:tc>
          <w:tcPr>
            <w:tcW w:type="dxa" w:w="5040"/>
          </w:tcPr>
          <w:p>
            <w:r>
              <w:rPr>
                <w:rFonts w:ascii="Aptos" w:hAnsi="Aptos"/>
                <w:sz w:val="18"/>
              </w:rPr>
            </w:r>
            <w:r>
              <w:rPr>
                <w:rFonts w:ascii="Aptos" w:hAnsi="Aptos"/>
                <w:b w:val="0"/>
                <w:sz w:val="18"/>
              </w:rPr>
              <w:t>C2-07</w:t>
            </w:r>
          </w:p>
        </w:tc>
        <w:tc>
          <w:tcPr>
            <w:tcW w:type="dxa" w:w="5040"/>
          </w:tcPr>
          <w:p>
            <w:r>
              <w:rPr>
                <w:rFonts w:ascii="Aptos" w:hAnsi="Aptos"/>
                <w:sz w:val="18"/>
              </w:rPr>
            </w:r>
            <w:r>
              <w:rPr>
                <w:rFonts w:ascii="Aptos" w:hAnsi="Aptos"/>
                <w:b w:val="0"/>
                <w:sz w:val="18"/>
              </w:rPr>
              <w:t>Goldbach citation spelling</w:t>
            </w:r>
          </w:p>
        </w:tc>
      </w:tr>
      <w:tr>
        <w:tc>
          <w:tcPr>
            <w:tcW w:type="dxa" w:w="5040"/>
          </w:tcPr>
          <w:p>
            <w:r>
              <w:rPr>
                <w:rFonts w:ascii="Aptos" w:hAnsi="Aptos"/>
                <w:sz w:val="18"/>
              </w:rPr>
            </w:r>
            <w:r>
              <w:rPr>
                <w:rFonts w:ascii="Aptos" w:hAnsi="Aptos"/>
                <w:b w:val="0"/>
                <w:sz w:val="18"/>
              </w:rPr>
              <w:t>C2-08</w:t>
            </w:r>
          </w:p>
        </w:tc>
        <w:tc>
          <w:tcPr>
            <w:tcW w:type="dxa" w:w="5040"/>
          </w:tcPr>
          <w:p>
            <w:r>
              <w:rPr>
                <w:rFonts w:ascii="Aptos" w:hAnsi="Aptos"/>
                <w:sz w:val="18"/>
              </w:rPr>
            </w:r>
            <w:r>
              <w:rPr>
                <w:rFonts w:ascii="Aptos" w:hAnsi="Aptos"/>
                <w:b w:val="0"/>
                <w:sz w:val="18"/>
              </w:rPr>
              <w:t>Diminishing support: cumulative vs. incremental evidence</w:t>
            </w:r>
          </w:p>
        </w:tc>
      </w:tr>
      <w:tr>
        <w:tc>
          <w:tcPr>
            <w:tcW w:type="dxa" w:w="5040"/>
          </w:tcPr>
          <w:p>
            <w:r>
              <w:rPr>
                <w:rFonts w:ascii="Aptos" w:hAnsi="Aptos"/>
                <w:sz w:val="18"/>
              </w:rPr>
            </w:r>
            <w:r>
              <w:rPr>
                <w:rFonts w:ascii="Aptos" w:hAnsi="Aptos"/>
                <w:b w:val="0"/>
                <w:sz w:val="18"/>
              </w:rPr>
              <w:t>C2-11</w:t>
            </w:r>
          </w:p>
        </w:tc>
        <w:tc>
          <w:tcPr>
            <w:tcW w:type="dxa" w:w="5040"/>
          </w:tcPr>
          <w:p>
            <w:r>
              <w:rPr>
                <w:rFonts w:ascii="Aptos" w:hAnsi="Aptos"/>
                <w:sz w:val="18"/>
              </w:rPr>
            </w:r>
            <w:r>
              <w:rPr>
                <w:rFonts w:ascii="Aptos" w:hAnsi="Aptos"/>
                <w:b w:val="0"/>
                <w:sz w:val="18"/>
              </w:rPr>
              <w:t>Optional-stopping footnote</w:t>
            </w:r>
          </w:p>
        </w:tc>
      </w:tr>
    </w:tbl>
    <w:p>
      <w:pPr>
        <w:pStyle w:val="Heading1"/>
      </w:pPr>
      <w:r>
        <w:t>Detailed comments</w:t>
      </w:r>
    </w:p>
    <w:p>
      <w:pPr>
        <w:pStyle w:val="Heading2"/>
      </w:pPr>
      <w:r>
        <w:t>Chapter 1 - Bayes' Rule: Common Sense Expressed in Numbers</w:t>
      </w:r>
    </w:p>
    <w:p>
      <w:pPr>
        <w:pStyle w:val="Heading3"/>
      </w:pPr>
      <w:r>
        <w:t>C1-01 - Opening Laplace framing</w:t>
      </w:r>
    </w:p>
    <w:p>
      <w:r>
        <w:rPr>
          <w:b/>
        </w:rPr>
        <w:t xml:space="preserve">Severity: </w:t>
      </w:r>
      <w:r>
        <w:rPr>
          <w:b/>
          <w:color w:val="9C5700"/>
        </w:rPr>
        <w:t>Medium</w:t>
      </w:r>
    </w:p>
    <w:p>
      <w:r>
        <w:rPr>
          <w:b/>
        </w:rPr>
        <w:t xml:space="preserve">Location: </w:t>
      </w:r>
      <w:r>
        <w:t>PDF pp. 1-2 / printed pp. 7-8</w:t>
      </w:r>
    </w:p>
    <w:p>
      <w:r>
        <w:rPr>
          <w:b/>
        </w:rPr>
        <w:t xml:space="preserve">Anchor: </w:t>
      </w:r>
      <w:r>
        <w:t>Laplace “essentially founded the field of Bayesian statistics”</w:t>
      </w:r>
    </w:p>
    <w:p>
      <w:r>
        <w:rPr>
          <w:b/>
        </w:rPr>
        <w:t xml:space="preserve">Comment: </w:t>
      </w:r>
      <w:r>
        <w:t>The opening is effective, but this historical claim is a little broad. It compresses Bayes, Price, Laplace, and later Bayesian developments into a single founding act.</w:t>
      </w:r>
    </w:p>
    <w:p>
      <w:r>
        <w:rPr>
          <w:b/>
        </w:rPr>
        <w:t xml:space="preserve">Suggested edit: </w:t>
      </w:r>
      <w:r>
        <w:t>Soften slightly: “Pierre-Simon Laplace, who independently discovered and greatly developed what we now call Bayesian inference, concluded that ...”</w:t>
      </w:r>
    </w:p>
    <w:p>
      <w:pPr>
        <w:pStyle w:val="Heading3"/>
      </w:pPr>
      <w:r>
        <w:t>C1-02 - Kadesh draw wording</w:t>
      </w:r>
    </w:p>
    <w:p>
      <w:r>
        <w:rPr>
          <w:b/>
        </w:rPr>
        <w:t xml:space="preserve">Severity: </w:t>
      </w:r>
      <w:r>
        <w:t>Low</w:t>
      </w:r>
    </w:p>
    <w:p>
      <w:r>
        <w:rPr>
          <w:b/>
        </w:rPr>
        <w:t xml:space="preserve">Location: </w:t>
      </w:r>
      <w:r>
        <w:t>PDF p. 2 / printed p. 8</w:t>
      </w:r>
    </w:p>
    <w:p>
      <w:r>
        <w:rPr>
          <w:b/>
        </w:rPr>
        <w:t xml:space="preserve">Anchor: </w:t>
      </w:r>
      <w:r>
        <w:t>“Ramses II and Muwatalli II drew the Battle of Kadesh”</w:t>
      </w:r>
    </w:p>
    <w:p>
      <w:r>
        <w:rPr>
          <w:b/>
        </w:rPr>
        <w:t xml:space="preserve">Comment: </w:t>
      </w:r>
      <w:r>
        <w:t>The intended meaning is clear, but “drew the Battle” is not idiomatic.</w:t>
      </w:r>
    </w:p>
    <w:p>
      <w:r>
        <w:rPr>
          <w:b/>
        </w:rPr>
        <w:t xml:space="preserve">Suggested edit: </w:t>
      </w:r>
      <w:r>
        <w:t>Use: “the Battle of Kadesh ended in a draw between Ramses II and Muwatalli II.”</w:t>
      </w:r>
    </w:p>
    <w:p>
      <w:pPr>
        <w:pStyle w:val="Heading3"/>
      </w:pPr>
      <w:r>
        <w:t>C1-03 - Holmes paragraph: Muwatalli II consistency</w:t>
      </w:r>
    </w:p>
    <w:p>
      <w:r>
        <w:rPr>
          <w:b/>
        </w:rPr>
        <w:t xml:space="preserve">Severity: </w:t>
      </w:r>
      <w:r>
        <w:t>Low</w:t>
      </w:r>
    </w:p>
    <w:p>
      <w:r>
        <w:rPr>
          <w:b/>
        </w:rPr>
        <w:t xml:space="preserve">Location: </w:t>
      </w:r>
      <w:r>
        <w:t>PDF p. 3 / printed p. 9</w:t>
      </w:r>
    </w:p>
    <w:p>
      <w:r>
        <w:rPr>
          <w:b/>
        </w:rPr>
        <w:t xml:space="preserve">Anchor: </w:t>
      </w:r>
      <w:r>
        <w:t>θ_2: “Muwatalli was victorious at the Battle of Kadesh”</w:t>
      </w:r>
    </w:p>
    <w:p>
      <w:r>
        <w:rPr>
          <w:b/>
        </w:rPr>
        <w:t xml:space="preserve">Comment: </w:t>
      </w:r>
      <w:r>
        <w:t>θ_2 was defined just above as Muwatalli II. The shortened reference is harmless, but consistency is preferable.</w:t>
      </w:r>
    </w:p>
    <w:p>
      <w:r>
        <w:rPr>
          <w:b/>
        </w:rPr>
        <w:t xml:space="preserve">Suggested edit: </w:t>
      </w:r>
      <w:r>
        <w:t>Use “Muwatalli II was victorious at the Battle of Kadesh.”</w:t>
      </w:r>
    </w:p>
    <w:p>
      <w:pPr>
        <w:pStyle w:val="Heading3"/>
      </w:pPr>
      <w:r>
        <w:t>C1-04 - Sequential interpretation: batch vs. datum</w:t>
      </w:r>
    </w:p>
    <w:p>
      <w:r>
        <w:rPr>
          <w:b/>
        </w:rPr>
        <w:t xml:space="preserve">Severity: </w:t>
      </w:r>
      <w:r>
        <w:t>Low</w:t>
      </w:r>
    </w:p>
    <w:p>
      <w:r>
        <w:rPr>
          <w:b/>
        </w:rPr>
        <w:t xml:space="preserve">Location: </w:t>
      </w:r>
      <w:r>
        <w:t>PDF p. 4 / printed p. 10</w:t>
      </w:r>
    </w:p>
    <w:p>
      <w:r>
        <w:rPr>
          <w:b/>
        </w:rPr>
        <w:t xml:space="preserve">Anchor: </w:t>
      </w:r>
      <w:r>
        <w:t>“A first batch of data, y_1 ... analysis of next datum y_2”</w:t>
      </w:r>
    </w:p>
    <w:p>
      <w:r>
        <w:rPr>
          <w:b/>
        </w:rPr>
        <w:t xml:space="preserve">Comment: </w:t>
      </w:r>
      <w:r>
        <w:t>The sequential-updating explanation is now correct, but the sentence mixes “batch” and single-observation language.</w:t>
      </w:r>
    </w:p>
    <w:p>
      <w:r>
        <w:rPr>
          <w:b/>
        </w:rPr>
        <w:t xml:space="preserve">Suggested edit: </w:t>
      </w:r>
      <w:r>
        <w:t>Use either “observation” throughout or “batch” throughout. For example: “A first observation, y_1, updates the prior distribution p(θ) to p(θ | y_1); this posterior distribution then acts as the prior for the next observation, y_2.”</w:t>
      </w:r>
    </w:p>
    <w:p>
      <w:pPr>
        <w:pStyle w:val="Heading3"/>
      </w:pPr>
      <w:r>
        <w:t>C1-05 - Convergence claim needs the caveats where it first appears</w:t>
      </w:r>
    </w:p>
    <w:p>
      <w:r>
        <w:rPr>
          <w:b/>
        </w:rPr>
        <w:t xml:space="preserve">Severity: </w:t>
      </w:r>
      <w:r>
        <w:rPr>
          <w:b/>
          <w:color w:val="9C5700"/>
        </w:rPr>
        <w:t>Medium</w:t>
      </w:r>
    </w:p>
    <w:p>
      <w:r>
        <w:rPr>
          <w:b/>
        </w:rPr>
        <w:t xml:space="preserve">Location: </w:t>
      </w:r>
      <w:r>
        <w:t>PDF pp. 4-5 / printed pp. 10-11; summary on pp. 21-22</w:t>
      </w:r>
    </w:p>
    <w:p>
      <w:r>
        <w:rPr>
          <w:b/>
        </w:rPr>
        <w:t xml:space="preserve">Anchor: </w:t>
      </w:r>
      <w:r>
        <w:t>“bring any two rational people into an arbitrarily close agreement”</w:t>
      </w:r>
    </w:p>
    <w:p>
      <w:r>
        <w:rPr>
          <w:b/>
        </w:rPr>
        <w:t xml:space="preserve">Comment: </w:t>
      </w:r>
      <w:r>
        <w:t>The main text claim is slightly too broad. The summary now has a same-likelihood footnote, but the caveats should also appear at the first occurrence: shared model/likelihood, diagnostic data, and priors that do not rule out the relevant possibilities.</w:t>
      </w:r>
    </w:p>
    <w:p>
      <w:r>
        <w:rPr>
          <w:b/>
        </w:rPr>
        <w:t xml:space="preserve">Suggested edit: </w:t>
      </w:r>
      <w:r>
        <w:t>Revise to: “Under a shared model and likelihood, and provided neither prior rules out the relevant possibilities, a constant stream of diagnostic data ought to bring any two rational people into an arbitrarily close agreement.” In the summary, item 3 could similarly begin “With non-dogmatic priors and a shared likelihood...”</w:t>
      </w:r>
    </w:p>
    <w:p>
      <w:pPr>
        <w:pStyle w:val="Heading3"/>
      </w:pPr>
      <w:r>
        <w:t>C1-06 - Surprise-lost example: “whatever p(θ_1) is”</w:t>
      </w:r>
    </w:p>
    <w:p>
      <w:r>
        <w:rPr>
          <w:b/>
        </w:rPr>
        <w:t xml:space="preserve">Severity: </w:t>
      </w:r>
      <w:r>
        <w:rPr>
          <w:b/>
          <w:color w:val="C00000"/>
        </w:rPr>
        <w:t>High</w:t>
      </w:r>
    </w:p>
    <w:p>
      <w:r>
        <w:rPr>
          <w:b/>
        </w:rPr>
        <w:t xml:space="preserve">Location: </w:t>
      </w:r>
      <w:r>
        <w:t>PDF pp. 5-6 / printed pp. 11-12</w:t>
      </w:r>
    </w:p>
    <w:p>
      <w:r>
        <w:rPr>
          <w:b/>
        </w:rPr>
        <w:t xml:space="preserve">Anchor: </w:t>
      </w:r>
      <w:r>
        <w:t>“So whatever p(θ_1) is, p(θ_1 | data) has to be twice as high.”</w:t>
      </w:r>
    </w:p>
    <w:p>
      <w:r>
        <w:rPr>
          <w:b/>
        </w:rPr>
        <w:t xml:space="preserve">Comment: </w:t>
      </w:r>
      <w:r>
        <w:t>The multiplier is right, but “whatever p(θ_1) is” is too broad. Given p(data)=0.25 and p(data | θ_1)=0.50, the setup itself implies p(θ_1) cannot exceed 0.5; otherwise p(data) would be at least p(θ_1)p(data | θ_1)&gt;0.25.</w:t>
      </w:r>
    </w:p>
    <w:p>
      <w:r>
        <w:rPr>
          <w:b/>
        </w:rPr>
        <w:t xml:space="preserve">Suggested edit: </w:t>
      </w:r>
      <w:r>
        <w:t>Use: “For any prior probability p(θ_1) compatible with these numbers, Equation 1.5 implies p(θ_1 | data)=2p(θ_1). Thus θ_1’s relative predictive success translates directly into an equal relative gain in credibility.”</w:t>
      </w:r>
    </w:p>
    <w:p>
      <w:pPr>
        <w:pStyle w:val="Heading3"/>
      </w:pPr>
      <w:r>
        <w:t>C1-07 - Pólya box: grammar, punctuation, and math commas</w:t>
      </w:r>
    </w:p>
    <w:p>
      <w:r>
        <w:rPr>
          <w:b/>
        </w:rPr>
        <w:t xml:space="preserve">Severity: </w:t>
      </w:r>
      <w:r>
        <w:t>Low</w:t>
      </w:r>
    </w:p>
    <w:p>
      <w:r>
        <w:rPr>
          <w:b/>
        </w:rPr>
        <w:t xml:space="preserve">Location: </w:t>
      </w:r>
      <w:r>
        <w:t>PDF p. 7 / printed p. 13</w:t>
      </w:r>
    </w:p>
    <w:p>
      <w:r>
        <w:rPr>
          <w:b/>
        </w:rPr>
        <w:t xml:space="preserve">Anchor: </w:t>
      </w:r>
      <w:r>
        <w:t>“at least 50% ... has”; “3 × 3)” ; “906, 150, 257”</w:t>
      </w:r>
    </w:p>
    <w:p>
      <w:r>
        <w:rPr>
          <w:b/>
        </w:rPr>
        <w:t xml:space="preserve">Comment: </w:t>
      </w:r>
      <w:r>
        <w:t>The box is much improved. Remaining issues are small: subject-verb agreement, an unmatched closing parenthesis after 3 × 3, and spaces after commas in the displayed counterexample.</w:t>
      </w:r>
    </w:p>
    <w:p>
      <w:r>
        <w:rPr>
          <w:b/>
        </w:rPr>
        <w:t xml:space="preserve">Suggested edit: </w:t>
      </w:r>
      <w:r>
        <w:t>Use “have” instead of “has”; remove the stray parenthesis; in LaTeX, write the counterexample as `906{,}150{,}257` rather than `906, 150, 257`.</w:t>
      </w:r>
    </w:p>
    <w:p>
      <w:pPr>
        <w:pStyle w:val="Heading3"/>
      </w:pPr>
      <w:r>
        <w:t>C1-08 - COVID example typo</w:t>
      </w:r>
    </w:p>
    <w:p>
      <w:r>
        <w:rPr>
          <w:b/>
        </w:rPr>
        <w:t xml:space="preserve">Severity: </w:t>
      </w:r>
      <w:r>
        <w:t>Low</w:t>
      </w:r>
    </w:p>
    <w:p>
      <w:r>
        <w:rPr>
          <w:b/>
        </w:rPr>
        <w:t xml:space="preserve">Location: </w:t>
      </w:r>
      <w:r>
        <w:t>PDF p. 8 / printed p. 14</w:t>
      </w:r>
    </w:p>
    <w:p>
      <w:r>
        <w:rPr>
          <w:b/>
        </w:rPr>
        <w:t xml:space="preserve">Anchor: </w:t>
      </w:r>
      <w:r>
        <w:t>“may be be low”</w:t>
      </w:r>
    </w:p>
    <w:p>
      <w:r>
        <w:rPr>
          <w:b/>
        </w:rPr>
        <w:t xml:space="preserve">Comment: </w:t>
      </w:r>
      <w:r>
        <w:t>Typo.</w:t>
      </w:r>
    </w:p>
    <w:p>
      <w:r>
        <w:rPr>
          <w:b/>
        </w:rPr>
        <w:t xml:space="preserve">Suggested edit: </w:t>
      </w:r>
      <w:r>
        <w:t>Use “may be low.”</w:t>
      </w:r>
    </w:p>
    <w:p>
      <w:pPr>
        <w:pStyle w:val="Heading3"/>
      </w:pPr>
      <w:r>
        <w:t>C1-09 - COVID prior-odds grammar</w:t>
      </w:r>
    </w:p>
    <w:p>
      <w:r>
        <w:rPr>
          <w:b/>
        </w:rPr>
        <w:t xml:space="preserve">Severity: </w:t>
      </w:r>
      <w:r>
        <w:t>Low</w:t>
      </w:r>
    </w:p>
    <w:p>
      <w:r>
        <w:rPr>
          <w:b/>
        </w:rPr>
        <w:t xml:space="preserve">Location: </w:t>
      </w:r>
      <w:r>
        <w:t>PDF p. 8 / printed p. 14</w:t>
      </w:r>
    </w:p>
    <w:p>
      <w:r>
        <w:rPr>
          <w:b/>
        </w:rPr>
        <w:t xml:space="preserve">Anchor: </w:t>
      </w:r>
      <w:r>
        <w:t>“the prior odds equals 0.01/0.99 = 1/99”</w:t>
      </w:r>
    </w:p>
    <w:p>
      <w:r>
        <w:rPr>
          <w:b/>
        </w:rPr>
        <w:t xml:space="preserve">Comment: </w:t>
      </w:r>
      <w:r>
        <w:t>Because “odds” is plural, “equal” or “are” is more natural.</w:t>
      </w:r>
    </w:p>
    <w:p>
      <w:r>
        <w:rPr>
          <w:b/>
        </w:rPr>
        <w:t xml:space="preserve">Suggested edit: </w:t>
      </w:r>
      <w:r>
        <w:t>Use “the prior odds equal 0.01/0.99 = 1/99” or “the prior odds are 0.01/0.99 = 1/99.”</w:t>
      </w:r>
    </w:p>
    <w:p>
      <w:pPr>
        <w:pStyle w:val="Heading3"/>
      </w:pPr>
      <w:r>
        <w:t>C1-10 - Second-toss typo in Ockham coin example</w:t>
      </w:r>
    </w:p>
    <w:p>
      <w:r>
        <w:rPr>
          <w:b/>
        </w:rPr>
        <w:t xml:space="preserve">Severity: </w:t>
      </w:r>
      <w:r>
        <w:rPr>
          <w:b/>
          <w:color w:val="C00000"/>
        </w:rPr>
        <w:t>High</w:t>
      </w:r>
    </w:p>
    <w:p>
      <w:r>
        <w:rPr>
          <w:b/>
        </w:rPr>
        <w:t xml:space="preserve">Location: </w:t>
      </w:r>
      <w:r>
        <w:t>PDF p. 10 / printed p. 16</w:t>
      </w:r>
    </w:p>
    <w:p>
      <w:r>
        <w:rPr>
          <w:b/>
        </w:rPr>
        <w:t xml:space="preserve">Anchor: </w:t>
      </w:r>
      <w:r>
        <w:t>“the probability of the second toss landing heads is computed ...”</w:t>
      </w:r>
    </w:p>
    <w:p>
      <w:r>
        <w:rPr>
          <w:b/>
        </w:rPr>
        <w:t xml:space="preserve">Comment: </w:t>
      </w:r>
      <w:r>
        <w:t>The second toss is tails, and the equation below is for p(tails | heads, H_1). This is a straightforward content typo.</w:t>
      </w:r>
    </w:p>
    <w:p>
      <w:r>
        <w:rPr>
          <w:b/>
        </w:rPr>
        <w:t xml:space="preserve">Suggested edit: </w:t>
      </w:r>
      <w:r>
        <w:t>Use: “the probability of the second toss landing tails is computed under the posterior distribution obtained after the first toss.”</w:t>
      </w:r>
    </w:p>
    <w:p>
      <w:pPr>
        <w:pStyle w:val="Heading3"/>
      </w:pPr>
      <w:r>
        <w:t>C1-11 - Ockham paragraph: hypothesis notation and possessive</w:t>
      </w:r>
    </w:p>
    <w:p>
      <w:r>
        <w:rPr>
          <w:b/>
        </w:rPr>
        <w:t xml:space="preserve">Severity: </w:t>
      </w:r>
      <w:r>
        <w:t>Low</w:t>
      </w:r>
    </w:p>
    <w:p>
      <w:r>
        <w:rPr>
          <w:b/>
        </w:rPr>
        <w:t xml:space="preserve">Location: </w:t>
      </w:r>
      <w:r>
        <w:t>PDF pp. 9-10 / printed pp. 15-16</w:t>
      </w:r>
    </w:p>
    <w:p>
      <w:r>
        <w:rPr>
          <w:b/>
        </w:rPr>
        <w:t xml:space="preserve">Anchor: </w:t>
      </w:r>
      <w:r>
        <w:t>“H_1 = ξ ∈ {0, 1/2, 1}”; “Bayes rule includes ...”</w:t>
      </w:r>
    </w:p>
    <w:p>
      <w:r>
        <w:rPr>
          <w:b/>
        </w:rPr>
        <w:t xml:space="preserve">Comment: </w:t>
      </w:r>
      <w:r>
        <w:t>The mathematics is clear, but the notation and possessive can be polished.</w:t>
      </w:r>
    </w:p>
    <w:p>
      <w:r>
        <w:rPr>
          <w:b/>
        </w:rPr>
        <w:t xml:space="preserve">Suggested edit: </w:t>
      </w:r>
      <w:r>
        <w:t>Use H_1: ξ ∈ {0,1/2,1} rather than H_1 = ξ ∈ {0,1/2,1}, and write “Bayes’ rule.”</w:t>
      </w:r>
    </w:p>
    <w:p>
      <w:pPr>
        <w:pStyle w:val="Heading3"/>
      </w:pPr>
      <w:r>
        <w:t>C1-12 - Continuous-prior Ockham paragraph: missing article</w:t>
      </w:r>
    </w:p>
    <w:p>
      <w:r>
        <w:rPr>
          <w:b/>
        </w:rPr>
        <w:t xml:space="preserve">Severity: </w:t>
      </w:r>
      <w:r>
        <w:t>Low</w:t>
      </w:r>
    </w:p>
    <w:p>
      <w:r>
        <w:rPr>
          <w:b/>
        </w:rPr>
        <w:t xml:space="preserve">Location: </w:t>
      </w:r>
      <w:r>
        <w:t>PDF p. 11 / printed p. 17</w:t>
      </w:r>
    </w:p>
    <w:p>
      <w:r>
        <w:rPr>
          <w:b/>
        </w:rPr>
        <w:t xml:space="preserve">Anchor: </w:t>
      </w:r>
      <w:r>
        <w:t>“in the case of coin”</w:t>
      </w:r>
    </w:p>
    <w:p>
      <w:r>
        <w:rPr>
          <w:b/>
        </w:rPr>
        <w:t xml:space="preserve">Comment: </w:t>
      </w:r>
      <w:r>
        <w:t>Missing article.</w:t>
      </w:r>
    </w:p>
    <w:p>
      <w:r>
        <w:rPr>
          <w:b/>
        </w:rPr>
        <w:t xml:space="preserve">Suggested edit: </w:t>
      </w:r>
      <w:r>
        <w:t>Use “in the case of a coin.”</w:t>
      </w:r>
    </w:p>
    <w:p>
      <w:pPr>
        <w:pStyle w:val="Heading3"/>
      </w:pPr>
      <w:r>
        <w:t>C1-13 - Equation 1.9 explanation: θ should be ξ</w:t>
      </w:r>
    </w:p>
    <w:p>
      <w:r>
        <w:rPr>
          <w:b/>
        </w:rPr>
        <w:t xml:space="preserve">Severity: </w:t>
      </w:r>
      <w:r>
        <w:rPr>
          <w:b/>
          <w:color w:val="C00000"/>
        </w:rPr>
        <w:t>High</w:t>
      </w:r>
    </w:p>
    <w:p>
      <w:r>
        <w:rPr>
          <w:b/>
        </w:rPr>
        <w:t xml:space="preserve">Location: </w:t>
      </w:r>
      <w:r>
        <w:t>PDF p. 11 / printed p. 17</w:t>
      </w:r>
    </w:p>
    <w:p>
      <w:r>
        <w:rPr>
          <w:b/>
        </w:rPr>
        <w:t xml:space="preserve">Anchor: </w:t>
      </w:r>
      <w:r>
        <w:t>“based on a cherry-picked value of θ”</w:t>
      </w:r>
    </w:p>
    <w:p>
      <w:r>
        <w:rPr>
          <w:b/>
        </w:rPr>
        <w:t xml:space="preserve">Comment: </w:t>
      </w:r>
      <w:r>
        <w:t>This section has switched to the parameter ξ. Referring to θ is not fatal, but it disrupts the notation around Equation 1.9.</w:t>
      </w:r>
    </w:p>
    <w:p>
      <w:r>
        <w:rPr>
          <w:b/>
        </w:rPr>
        <w:t xml:space="preserve">Suggested edit: </w:t>
      </w:r>
      <w:r>
        <w:t>Use “based on a cherry-picked value of ξ.”</w:t>
      </w:r>
    </w:p>
    <w:p>
      <w:pPr>
        <w:pStyle w:val="Heading3"/>
      </w:pPr>
      <w:r>
        <w:t>C1-14 - Footnote 7 grammar</w:t>
      </w:r>
    </w:p>
    <w:p>
      <w:r>
        <w:rPr>
          <w:b/>
        </w:rPr>
        <w:t xml:space="preserve">Severity: </w:t>
      </w:r>
      <w:r>
        <w:t>Low</w:t>
      </w:r>
    </w:p>
    <w:p>
      <w:r>
        <w:rPr>
          <w:b/>
        </w:rPr>
        <w:t xml:space="preserve">Location: </w:t>
      </w:r>
      <w:r>
        <w:t>PDF p. 11 / printed p. 17</w:t>
      </w:r>
    </w:p>
    <w:p>
      <w:r>
        <w:rPr>
          <w:b/>
        </w:rPr>
        <w:t xml:space="preserve">Anchor: </w:t>
      </w:r>
      <w:r>
        <w:t>“not affected much by shape of the prior distribution”</w:t>
      </w:r>
    </w:p>
    <w:p>
      <w:r>
        <w:rPr>
          <w:b/>
        </w:rPr>
        <w:t xml:space="preserve">Comment: </w:t>
      </w:r>
      <w:r>
        <w:t>Small grammar fix.</w:t>
      </w:r>
    </w:p>
    <w:p>
      <w:r>
        <w:rPr>
          <w:b/>
        </w:rPr>
        <w:t xml:space="preserve">Suggested edit: </w:t>
      </w:r>
      <w:r>
        <w:t>Use “not affected much by the shape of the prior distribution.”</w:t>
      </w:r>
    </w:p>
    <w:p>
      <w:pPr>
        <w:pStyle w:val="Heading3"/>
      </w:pPr>
      <w:r>
        <w:t>C1-15 - “What to Expect”: expectation is over p(data), not p(data | M)</w:t>
      </w:r>
    </w:p>
    <w:p>
      <w:r>
        <w:rPr>
          <w:b/>
        </w:rPr>
        <w:t xml:space="preserve">Severity: </w:t>
      </w:r>
      <w:r>
        <w:rPr>
          <w:b/>
          <w:color w:val="C00000"/>
        </w:rPr>
        <w:t>High</w:t>
      </w:r>
    </w:p>
    <w:p>
      <w:r>
        <w:rPr>
          <w:b/>
        </w:rPr>
        <w:t xml:space="preserve">Location: </w:t>
      </w:r>
      <w:r>
        <w:t>PDF p. 13 / printed p. 19</w:t>
      </w:r>
    </w:p>
    <w:p>
      <w:r>
        <w:rPr>
          <w:b/>
        </w:rPr>
        <w:t xml:space="preserve">Anchor: </w:t>
      </w:r>
      <w:r>
        <w:t>Footnote 8: “The expectation is taken over the prior predictive for the data under model M.”</w:t>
      </w:r>
    </w:p>
    <w:p>
      <w:r>
        <w:rPr>
          <w:b/>
        </w:rPr>
        <w:t xml:space="preserve">Comment: </w:t>
      </w:r>
      <w:r>
        <w:t>The proof defines the expectation using p(data), not p(data | M). The expectation is over the unconditional/marginal prior predictive distribution for the data, averaged across the model prior probabilities. If the expectation were taken under p(data | M), the identity would generally not equal p(M).</w:t>
      </w:r>
    </w:p>
    <w:p>
      <w:r>
        <w:rPr>
          <w:b/>
        </w:rPr>
        <w:t xml:space="preserve">Suggested edit: </w:t>
      </w:r>
      <w:r>
        <w:t>Replace the footnote with: “The expectation is taken with respect to the unconditional prior predictive distribution for the data, p(data)=∑_j p(M_j)p(data | M_j). It is not an expectation conditional on M being true.”</w:t>
      </w:r>
    </w:p>
    <w:p>
      <w:pPr>
        <w:pStyle w:val="Heading3"/>
      </w:pPr>
      <w:r>
        <w:t>C1-16 - Fowlie’s law: x-axis/domain wording</w:t>
      </w:r>
    </w:p>
    <w:p>
      <w:r>
        <w:rPr>
          <w:b/>
        </w:rPr>
        <w:t xml:space="preserve">Severity: </w:t>
      </w:r>
      <w:r>
        <w:rPr>
          <w:b/>
          <w:color w:val="9C5700"/>
        </w:rPr>
        <w:t>Medium</w:t>
      </w:r>
    </w:p>
    <w:p>
      <w:r>
        <w:rPr>
          <w:b/>
        </w:rPr>
        <w:t xml:space="preserve">Location: </w:t>
      </w:r>
      <w:r>
        <w:t>PDF p. 14 / printed p. 20</w:t>
      </w:r>
    </w:p>
    <w:p>
      <w:r>
        <w:rPr>
          <w:b/>
        </w:rPr>
        <w:t xml:space="preserve">Anchor: </w:t>
      </w:r>
      <w:r>
        <w:t>“f(x) and g(x) each occupy precisely half of the x-axis domain”</w:t>
      </w:r>
    </w:p>
    <w:p>
      <w:r>
        <w:rPr>
          <w:b/>
        </w:rPr>
        <w:t xml:space="preserve">Comment: </w:t>
      </w:r>
      <w:r>
        <w:t>This is a useful geometric intuition, but densities do not literally occupy half of the x-axis domain. What is split in half is the schematic representation of the two data-generating cases under equal prior model probabilities.</w:t>
      </w:r>
    </w:p>
    <w:p>
      <w:r>
        <w:rPr>
          <w:b/>
        </w:rPr>
        <w:t xml:space="preserve">Suggested edit: </w:t>
      </w:r>
      <w:r>
        <w:t>Use something like: “In the schematic, the left and right halves of the x-axis represent the two equally likely data-generating cases: observations drawn from f(x) under M_f and observations drawn from g(x) under M_g.”</w:t>
      </w:r>
    </w:p>
    <w:p>
      <w:pPr>
        <w:pStyle w:val="Heading3"/>
      </w:pPr>
      <w:r>
        <w:t>C1-17 - Fowlie’s law: define x_f and x_g</w:t>
      </w:r>
    </w:p>
    <w:p>
      <w:r>
        <w:rPr>
          <w:b/>
        </w:rPr>
        <w:t xml:space="preserve">Severity: </w:t>
      </w:r>
      <w:r>
        <w:t>Low</w:t>
      </w:r>
    </w:p>
    <w:p>
      <w:r>
        <w:rPr>
          <w:b/>
        </w:rPr>
        <w:t xml:space="preserve">Location: </w:t>
      </w:r>
      <w:r>
        <w:t>PDF p. 14 / printed p. 20</w:t>
      </w:r>
    </w:p>
    <w:p>
      <w:r>
        <w:rPr>
          <w:b/>
        </w:rPr>
        <w:t xml:space="preserve">Anchor: </w:t>
      </w:r>
      <w:r>
        <w:t>“Denoting the data by x this means that E[p(M_f | x_f)] = E[p(M_g | x_g)].”</w:t>
      </w:r>
    </w:p>
    <w:p>
      <w:r>
        <w:rPr>
          <w:b/>
        </w:rPr>
        <w:t xml:space="preserve">Comment: </w:t>
      </w:r>
      <w:r>
        <w:t>The notation is intuitive, but a first-time reader may appreciate one explicit statement that x_f and x_g denote data generated under f and g, respectively.</w:t>
      </w:r>
    </w:p>
    <w:p>
      <w:r>
        <w:rPr>
          <w:b/>
        </w:rPr>
        <w:t xml:space="preserve">Suggested edit: </w:t>
      </w:r>
      <w:r>
        <w:t>Use: “Denoting by x_f data generated from f(x), and by x_g data generated from g(x), this means that E[p(M_f | x_f)] = E[p(M_g | x_g)].”</w:t>
      </w:r>
    </w:p>
    <w:p>
      <w:pPr>
        <w:pStyle w:val="Heading3"/>
      </w:pPr>
      <w:r>
        <w:t>C1-18 - Chapter summary item 12: “always fair”</w:t>
      </w:r>
    </w:p>
    <w:p>
      <w:r>
        <w:rPr>
          <w:b/>
        </w:rPr>
        <w:t xml:space="preserve">Severity: </w:t>
      </w:r>
      <w:r>
        <w:rPr>
          <w:b/>
          <w:color w:val="9C5700"/>
        </w:rPr>
        <w:t>Medium</w:t>
      </w:r>
    </w:p>
    <w:p>
      <w:r>
        <w:rPr>
          <w:b/>
        </w:rPr>
        <w:t xml:space="preserve">Location: </w:t>
      </w:r>
      <w:r>
        <w:t>PDF pp. 15-16 / printed pp. 21-22</w:t>
      </w:r>
    </w:p>
    <w:p>
      <w:r>
        <w:rPr>
          <w:b/>
        </w:rPr>
        <w:t xml:space="preserve">Anchor: </w:t>
      </w:r>
      <w:r>
        <w:t>“Bayesian inference is always fair.”</w:t>
      </w:r>
    </w:p>
    <w:p>
      <w:r>
        <w:rPr>
          <w:b/>
        </w:rPr>
        <w:t xml:space="preserve">Comment: </w:t>
      </w:r>
      <w:r>
        <w:t>The slogan is attractive, but it is broad. The established result is a specific expected-posterior symmetry under equal prior model probabilities.</w:t>
      </w:r>
    </w:p>
    <w:p>
      <w:r>
        <w:rPr>
          <w:b/>
        </w:rPr>
        <w:t xml:space="preserve">Suggested edit: </w:t>
      </w:r>
      <w:r>
        <w:t>Use: “In this expected-posterior sense, Bayesian inference is fair: when two equally plausible models A and B are put to the test, the expected posterior probability for A, if A were true, equals the expected posterior probability for B, if B were true.”</w:t>
      </w:r>
    </w:p>
    <w:p>
      <w:pPr>
        <w:pStyle w:val="Heading3"/>
      </w:pPr>
      <w:r>
        <w:t>C1-19 - Chapter summary item 6 punctuation</w:t>
      </w:r>
    </w:p>
    <w:p>
      <w:r>
        <w:rPr>
          <w:b/>
        </w:rPr>
        <w:t xml:space="preserve">Severity: </w:t>
      </w:r>
      <w:r>
        <w:t>Low</w:t>
      </w:r>
    </w:p>
    <w:p>
      <w:r>
        <w:rPr>
          <w:b/>
        </w:rPr>
        <w:t xml:space="preserve">Location: </w:t>
      </w:r>
      <w:r>
        <w:t>PDF p. 16 / printed p. 22</w:t>
      </w:r>
    </w:p>
    <w:p>
      <w:r>
        <w:rPr>
          <w:b/>
        </w:rPr>
        <w:t xml:space="preserve">Anchor: </w:t>
      </w:r>
      <w:r>
        <w:t>Pólya quotation item</w:t>
      </w:r>
    </w:p>
    <w:p>
      <w:r>
        <w:rPr>
          <w:b/>
        </w:rPr>
        <w:t xml:space="preserve">Comment: </w:t>
      </w:r>
      <w:r>
        <w:t>Missing sentence-final punctuation.</w:t>
      </w:r>
    </w:p>
    <w:p>
      <w:r>
        <w:rPr>
          <w:b/>
        </w:rPr>
        <w:t xml:space="preserve">Suggested edit: </w:t>
      </w:r>
      <w:r>
        <w:t>Add a period after the citation.</w:t>
      </w:r>
    </w:p>
    <w:p>
      <w:pPr>
        <w:pStyle w:val="Heading3"/>
      </w:pPr>
      <w:r>
        <w:t>C1-20 - Appendix Eq. 1.12: left-most factor is not the posterior</w:t>
      </w:r>
    </w:p>
    <w:p>
      <w:r>
        <w:rPr>
          <w:b/>
        </w:rPr>
        <w:t xml:space="preserve">Severity: </w:t>
      </w:r>
      <w:r>
        <w:rPr>
          <w:b/>
          <w:color w:val="C00000"/>
        </w:rPr>
        <w:t>High</w:t>
      </w:r>
    </w:p>
    <w:p>
      <w:r>
        <w:rPr>
          <w:b/>
        </w:rPr>
        <w:t xml:space="preserve">Location: </w:t>
      </w:r>
      <w:r>
        <w:t>PDF p. 17 / printed p. 23</w:t>
      </w:r>
    </w:p>
    <w:p>
      <w:r>
        <w:rPr>
          <w:b/>
        </w:rPr>
        <w:t xml:space="preserve">Anchor: </w:t>
      </w:r>
      <w:r>
        <w:t>“the left-most factor is the posterior distribution for θ after observing y_1 and y_2”</w:t>
      </w:r>
    </w:p>
    <w:p>
      <w:r>
        <w:rPr>
          <w:b/>
        </w:rPr>
        <w:t xml:space="preserve">Comment: </w:t>
      </w:r>
      <w:r>
        <w:t>The equations are now correct, including the p(y_2 | y_1) denominator. But this explanatory sentence is mathematically incorrect: the left-hand side is the posterior after y_1 and y_2; the left-most factor on the right-hand side is an updating factor.</w:t>
      </w:r>
    </w:p>
    <w:p>
      <w:r>
        <w:rPr>
          <w:b/>
        </w:rPr>
        <w:t xml:space="preserve">Suggested edit: </w:t>
      </w:r>
      <w:r>
        <w:t>Replace with: “Note that the right-most factor on the right-hand side is p(θ | y_1), the posterior distribution for θ after observing y_1. The left-hand side is p(θ | y_1,y_2), the posterior distribution after observing both y_1 and y_2. The remaining ratio is the updating factor contributed by y_2, conditional on y_1.”</w:t>
      </w:r>
    </w:p>
    <w:p>
      <w:pPr>
        <w:pStyle w:val="Heading3"/>
      </w:pPr>
      <w:r>
        <w:t>C1-21 - Appendix Eq. 1.14: optional p_1 notation</w:t>
      </w:r>
    </w:p>
    <w:p>
      <w:r>
        <w:rPr>
          <w:b/>
        </w:rPr>
        <w:t xml:space="preserve">Severity: </w:t>
      </w:r>
      <w:r>
        <w:rPr>
          <w:i/>
        </w:rPr>
        <w:t>Optional</w:t>
      </w:r>
    </w:p>
    <w:p>
      <w:r>
        <w:rPr>
          <w:b/>
        </w:rPr>
        <w:t xml:space="preserve">Location: </w:t>
      </w:r>
      <w:r>
        <w:t>PDF p. 17 / printed p. 23</w:t>
      </w:r>
    </w:p>
    <w:p>
      <w:r>
        <w:rPr>
          <w:b/>
        </w:rPr>
        <w:t xml:space="preserve">Anchor: </w:t>
      </w:r>
      <w:r>
        <w:t>p(y_2 | y_1)=∫p(y_2 | θ)p(θ | y_1)dθ</w:t>
      </w:r>
    </w:p>
    <w:p>
      <w:r>
        <w:rPr>
          <w:b/>
        </w:rPr>
        <w:t xml:space="preserve">Comment: </w:t>
      </w:r>
      <w:r>
        <w:t>The revised text is correct. To make “today’s posterior is tomorrow’s prior” even harder to misunderstand, you could introduce p_1(θ):=p(θ | y_1) and write the update without y_1 appearing except through p_1.</w:t>
      </w:r>
    </w:p>
    <w:p>
      <w:r>
        <w:rPr>
          <w:b/>
        </w:rPr>
        <w:t xml:space="preserve">Suggested edit: </w:t>
      </w:r>
      <w:r>
        <w:t>Optional insert: “Equivalently, if p_1(θ):=p(θ | y_1), then p(θ | y_1,y_2)=p(y_2 | θ)p_1(θ)/∫p(y_2 | ϑ)p_1(ϑ)dϑ.”</w:t>
      </w:r>
    </w:p>
    <w:p>
      <w:pPr>
        <w:pStyle w:val="Heading2"/>
      </w:pPr>
      <w:r>
        <w:t>Chapter 2 - Jeffreys Critiques the p-Value</w:t>
      </w:r>
    </w:p>
    <w:p>
      <w:pPr>
        <w:pStyle w:val="Heading3"/>
      </w:pPr>
      <w:r>
        <w:t>C2-01 - “Critique on” vs. “critique of”</w:t>
      </w:r>
    </w:p>
    <w:p>
      <w:r>
        <w:rPr>
          <w:b/>
        </w:rPr>
        <w:t xml:space="preserve">Severity: </w:t>
      </w:r>
      <w:r>
        <w:t>Low</w:t>
      </w:r>
    </w:p>
    <w:p>
      <w:r>
        <w:rPr>
          <w:b/>
        </w:rPr>
        <w:t xml:space="preserve">Location: </w:t>
      </w:r>
      <w:r>
        <w:t>PDF pp. 19-20 / printed pp. 25-26</w:t>
      </w:r>
    </w:p>
    <w:p>
      <w:r>
        <w:rPr>
          <w:b/>
        </w:rPr>
        <w:t xml:space="preserve">Anchor: </w:t>
      </w:r>
      <w:r>
        <w:t>“Jeffreys’s critique on the p-value”</w:t>
      </w:r>
    </w:p>
    <w:p>
      <w:r>
        <w:rPr>
          <w:b/>
        </w:rPr>
        <w:t xml:space="preserve">Comment: </w:t>
      </w:r>
      <w:r>
        <w:t>The idiom is “critique of,” not “critique on.” There is another instance in the Setting the Stage section.</w:t>
      </w:r>
    </w:p>
    <w:p>
      <w:r>
        <w:rPr>
          <w:b/>
        </w:rPr>
        <w:t xml:space="preserve">Suggested edit: </w:t>
      </w:r>
      <w:r>
        <w:t>Use “Jeffreys’s critique of the p-value.”</w:t>
      </w:r>
    </w:p>
    <w:p>
      <w:pPr>
        <w:pStyle w:val="Heading3"/>
      </w:pPr>
      <w:r>
        <w:t>C2-02 - “Contrasted to” vs. “contrasted with”</w:t>
      </w:r>
    </w:p>
    <w:p>
      <w:r>
        <w:rPr>
          <w:b/>
        </w:rPr>
        <w:t xml:space="preserve">Severity: </w:t>
      </w:r>
      <w:r>
        <w:t>Low</w:t>
      </w:r>
    </w:p>
    <w:p>
      <w:r>
        <w:rPr>
          <w:b/>
        </w:rPr>
        <w:t xml:space="preserve">Location: </w:t>
      </w:r>
      <w:r>
        <w:t>PDF p. 19 / printed p. 25</w:t>
      </w:r>
    </w:p>
    <w:p>
      <w:r>
        <w:rPr>
          <w:b/>
        </w:rPr>
        <w:t xml:space="preserve">Anchor: </w:t>
      </w:r>
      <w:r>
        <w:t>“contrasted his ‘Bayes factor’ to the p-value hypothesis test”</w:t>
      </w:r>
    </w:p>
    <w:p>
      <w:r>
        <w:rPr>
          <w:b/>
        </w:rPr>
        <w:t xml:space="preserve">Comment: </w:t>
      </w:r>
      <w:r>
        <w:t>The usual phrase is “contrasted X with Y.”</w:t>
      </w:r>
    </w:p>
    <w:p>
      <w:r>
        <w:rPr>
          <w:b/>
        </w:rPr>
        <w:t xml:space="preserve">Suggested edit: </w:t>
      </w:r>
      <w:r>
        <w:t>Use “contrasted his Bayes factor with the p-value hypothesis test.”</w:t>
      </w:r>
    </w:p>
    <w:p>
      <w:pPr>
        <w:pStyle w:val="Heading3"/>
      </w:pPr>
      <w:r>
        <w:t>C2-03 - Likelihood-ratio paragraph: MLE is data-selected</w:t>
      </w:r>
    </w:p>
    <w:p>
      <w:r>
        <w:rPr>
          <w:b/>
        </w:rPr>
        <w:t xml:space="preserve">Severity: </w:t>
      </w:r>
      <w:r>
        <w:rPr>
          <w:b/>
          <w:color w:val="9C5700"/>
        </w:rPr>
        <w:t>Medium</w:t>
      </w:r>
    </w:p>
    <w:p>
      <w:r>
        <w:rPr>
          <w:b/>
        </w:rPr>
        <w:t xml:space="preserve">Location: </w:t>
      </w:r>
      <w:r>
        <w:t>PDF p. 20 / printed p. 26</w:t>
      </w:r>
    </w:p>
    <w:p>
      <w:r>
        <w:rPr>
          <w:b/>
        </w:rPr>
        <w:t xml:space="preserve">Anchor: </w:t>
      </w:r>
      <w:r>
        <w:t>“LR_10 in favor of H_1: θ=θ̂ over H_0: θ=θ_0=1/2”</w:t>
      </w:r>
    </w:p>
    <w:p>
      <w:r>
        <w:rPr>
          <w:b/>
        </w:rPr>
        <w:t xml:space="preserve">Comment: </w:t>
      </w:r>
      <w:r>
        <w:t>Because H_1 is the composite model and θ̂ is data-selected, this wording can make it sound as if H_1 were a simple point hypothesis specified before seeing the data. But the point of the paragraph is precisely that θ̂ is selected after the fact.</w:t>
      </w:r>
    </w:p>
    <w:p>
      <w:r>
        <w:rPr>
          <w:b/>
        </w:rPr>
        <w:t xml:space="preserve">Suggested edit: </w:t>
      </w:r>
      <w:r>
        <w:t>Use: “the likelihood ratio LR_10 comparing the data-selected MLE under H_1, θ=θ̂, against H_0: θ=θ_0=1/2 equals ...”</w:t>
      </w:r>
    </w:p>
    <w:p>
      <w:pPr>
        <w:pStyle w:val="Heading3"/>
      </w:pPr>
      <w:r>
        <w:t>C2-04 - p-value capitalization in section heading</w:t>
      </w:r>
    </w:p>
    <w:p>
      <w:r>
        <w:rPr>
          <w:b/>
        </w:rPr>
        <w:t xml:space="preserve">Severity: </w:t>
      </w:r>
      <w:r>
        <w:t>Low</w:t>
      </w:r>
    </w:p>
    <w:p>
      <w:r>
        <w:rPr>
          <w:b/>
        </w:rPr>
        <w:t xml:space="preserve">Location: </w:t>
      </w:r>
      <w:r>
        <w:t>PDF p. 23 / printed p. 29</w:t>
      </w:r>
    </w:p>
    <w:p>
      <w:r>
        <w:rPr>
          <w:b/>
        </w:rPr>
        <w:t xml:space="preserve">Anchor: </w:t>
      </w:r>
      <w:r>
        <w:t>“Jeffreys’s Theoretical Objections to the P-Value”</w:t>
      </w:r>
    </w:p>
    <w:p>
      <w:r>
        <w:rPr>
          <w:b/>
        </w:rPr>
        <w:t xml:space="preserve">Comment: </w:t>
      </w:r>
      <w:r>
        <w:t>The section heading uses uppercase P-Value, while the surrounding text mostly uses p-value. This may be a style decision, but consistency would look cleaner.</w:t>
      </w:r>
    </w:p>
    <w:p>
      <w:r>
        <w:rPr>
          <w:b/>
        </w:rPr>
        <w:t xml:space="preserve">Suggested edit: </w:t>
      </w:r>
      <w:r>
        <w:t>Consider “Jeffreys’s Theoretical Objections to the p-Value” or, more conventionally, “... to the p-value.”</w:t>
      </w:r>
    </w:p>
    <w:p>
      <w:pPr>
        <w:pStyle w:val="Heading3"/>
      </w:pPr>
      <w:r>
        <w:t>C2-05 - Jeffreys possessive</w:t>
      </w:r>
    </w:p>
    <w:p>
      <w:r>
        <w:rPr>
          <w:b/>
        </w:rPr>
        <w:t xml:space="preserve">Severity: </w:t>
      </w:r>
      <w:r>
        <w:t>Low</w:t>
      </w:r>
    </w:p>
    <w:p>
      <w:r>
        <w:rPr>
          <w:b/>
        </w:rPr>
        <w:t xml:space="preserve">Location: </w:t>
      </w:r>
      <w:r>
        <w:t>PDF p. 25 / printed p. 31</w:t>
      </w:r>
    </w:p>
    <w:p>
      <w:r>
        <w:rPr>
          <w:b/>
        </w:rPr>
        <w:t xml:space="preserve">Anchor: </w:t>
      </w:r>
      <w:r>
        <w:t>“This scenario influenced Jeffreys’ thinking”</w:t>
      </w:r>
    </w:p>
    <w:p>
      <w:r>
        <w:rPr>
          <w:b/>
        </w:rPr>
        <w:t xml:space="preserve">Comment: </w:t>
      </w:r>
      <w:r>
        <w:t>You elsewhere use Jeffreys’s. Both forms are defensible, but consistency is preferable.</w:t>
      </w:r>
    </w:p>
    <w:p>
      <w:r>
        <w:rPr>
          <w:b/>
        </w:rPr>
        <w:t xml:space="preserve">Suggested edit: </w:t>
      </w:r>
      <w:r>
        <w:t>Use “Jeffreys’s thinking” if that is the house style.</w:t>
      </w:r>
    </w:p>
    <w:p>
      <w:pPr>
        <w:pStyle w:val="Heading3"/>
      </w:pPr>
      <w:r>
        <w:t>C2-06 - Universal generalizations and Goldbach modeling idealization</w:t>
      </w:r>
    </w:p>
    <w:p>
      <w:r>
        <w:rPr>
          <w:b/>
        </w:rPr>
        <w:t xml:space="preserve">Severity: </w:t>
      </w:r>
      <w:r>
        <w:rPr>
          <w:b/>
          <w:color w:val="9C5700"/>
        </w:rPr>
        <w:t>Medium</w:t>
      </w:r>
    </w:p>
    <w:p>
      <w:r>
        <w:rPr>
          <w:b/>
        </w:rPr>
        <w:t xml:space="preserve">Location: </w:t>
      </w:r>
      <w:r>
        <w:t>PDF p. 25 / printed p. 31</w:t>
      </w:r>
    </w:p>
    <w:p>
      <w:r>
        <w:rPr>
          <w:b/>
        </w:rPr>
        <w:t xml:space="preserve">Anchor: </w:t>
      </w:r>
      <w:r>
        <w:t>Application of BF_01=n+1 to the Goldbach conjecture</w:t>
      </w:r>
    </w:p>
    <w:p>
      <w:r>
        <w:rPr>
          <w:b/>
        </w:rPr>
        <w:t xml:space="preserve">Comment: </w:t>
      </w:r>
      <w:r>
        <w:t>The universal-generalization section is excellent, but the Goldbach application relies on a modeling idealization. The beta-binomial calculation treats confirmatory instances as exchangeable/conditionally independent Bernoulli observations. Computational verification of consecutive even numbers is deterministic and highly structured, not literally iid sampling.</w:t>
      </w:r>
    </w:p>
    <w:p>
      <w:r>
        <w:rPr>
          <w:b/>
        </w:rPr>
        <w:t xml:space="preserve">Suggested edit: </w:t>
      </w:r>
      <w:r>
        <w:t>Add a caveat such as: “Interpreted within this simple exchangeable Bernoulli model of confirmatory instances, the Goldbach conjecture has been confirmed computationally for ...”</w:t>
      </w:r>
    </w:p>
    <w:p>
      <w:pPr>
        <w:pStyle w:val="Heading3"/>
      </w:pPr>
      <w:r>
        <w:t>C2-07 - Goldbach citation spelling</w:t>
      </w:r>
    </w:p>
    <w:p>
      <w:r>
        <w:rPr>
          <w:b/>
        </w:rPr>
        <w:t xml:space="preserve">Severity: </w:t>
      </w:r>
      <w:r>
        <w:rPr>
          <w:b/>
          <w:color w:val="C00000"/>
        </w:rPr>
        <w:t>High</w:t>
      </w:r>
    </w:p>
    <w:p>
      <w:r>
        <w:rPr>
          <w:b/>
        </w:rPr>
        <w:t xml:space="preserve">Location: </w:t>
      </w:r>
      <w:r>
        <w:t>PDF p. 25 / printed p. 31; bibliography PDF p. 38 / printed p. 44</w:t>
      </w:r>
    </w:p>
    <w:p>
      <w:r>
        <w:rPr>
          <w:b/>
        </w:rPr>
        <w:t xml:space="preserve">Anchor: </w:t>
      </w:r>
      <w:r>
        <w:t>“Oliviera e Silva et al. (2014)”</w:t>
      </w:r>
    </w:p>
    <w:p>
      <w:r>
        <w:rPr>
          <w:b/>
        </w:rPr>
        <w:t xml:space="preserve">Comment: </w:t>
      </w:r>
      <w:r>
        <w:t>The name appears to be misspelled. It should be Oliveira e Silva. This occurs both in the in-text citation and in the bibliography.</w:t>
      </w:r>
    </w:p>
    <w:p>
      <w:r>
        <w:rPr>
          <w:b/>
        </w:rPr>
        <w:t xml:space="preserve">Suggested edit: </w:t>
      </w:r>
      <w:r>
        <w:t>Use “Oliveira e Silva et al. (2014)” and “T. Oliveira e Silva, S. Herzog, and S. Pardi” in the bibliography.</w:t>
      </w:r>
    </w:p>
    <w:p>
      <w:pPr>
        <w:pStyle w:val="Heading3"/>
      </w:pPr>
      <w:r>
        <w:t>C2-08 - Diminishing support: cumulative vs. incremental evidence</w:t>
      </w:r>
    </w:p>
    <w:p>
      <w:r>
        <w:rPr>
          <w:b/>
        </w:rPr>
        <w:t xml:space="preserve">Severity: </w:t>
      </w:r>
      <w:r>
        <w:rPr>
          <w:b/>
          <w:color w:val="C00000"/>
        </w:rPr>
        <w:t>High</w:t>
      </w:r>
    </w:p>
    <w:p>
      <w:r>
        <w:rPr>
          <w:b/>
        </w:rPr>
        <w:t xml:space="preserve">Location: </w:t>
      </w:r>
      <w:r>
        <w:t>PDF p. 26 / printed p. 32</w:t>
      </w:r>
    </w:p>
    <w:p>
      <w:r>
        <w:rPr>
          <w:b/>
        </w:rPr>
        <w:t xml:space="preserve">Anchor: </w:t>
      </w:r>
      <w:r>
        <w:t>“This sequence shows the decrease in evidential support for H_0 ...”</w:t>
      </w:r>
    </w:p>
    <w:p>
      <w:r>
        <w:rPr>
          <w:b/>
        </w:rPr>
        <w:t xml:space="preserve">Comment: </w:t>
      </w:r>
      <w:r>
        <w:t>The cumulative evidence for H_0 does not decrease; BF_01=n+1 increases with n. What decreases is the incremental evidential contribution of each additional confirmatory observation.</w:t>
      </w:r>
    </w:p>
    <w:p>
      <w:r>
        <w:rPr>
          <w:b/>
        </w:rPr>
        <w:t xml:space="preserve">Suggested edit: </w:t>
      </w:r>
      <w:r>
        <w:t>Use: “This sequence shows the decrease in the incremental evidential support for H_0 contributed by each additional confirmatory instance as the instances accumulate ...”</w:t>
      </w:r>
    </w:p>
    <w:p>
      <w:pPr>
        <w:pStyle w:val="Heading3"/>
      </w:pPr>
      <w:r>
        <w:t>C2-09 - Jeffreys quote on increasing thresholds: add a translation sentence</w:t>
      </w:r>
    </w:p>
    <w:p>
      <w:r>
        <w:rPr>
          <w:b/>
        </w:rPr>
        <w:t xml:space="preserve">Severity: </w:t>
      </w:r>
      <w:r>
        <w:rPr>
          <w:b/>
          <w:color w:val="9C5700"/>
        </w:rPr>
        <w:t>Medium</w:t>
      </w:r>
    </w:p>
    <w:p>
      <w:r>
        <w:rPr>
          <w:b/>
        </w:rPr>
        <w:t xml:space="preserve">Location: </w:t>
      </w:r>
      <w:r>
        <w:t>PDF pp. 29-30 / printed pp. 35-36</w:t>
      </w:r>
    </w:p>
    <w:p>
      <w:r>
        <w:rPr>
          <w:b/>
        </w:rPr>
        <w:t xml:space="preserve">Anchor: </w:t>
      </w:r>
      <w:r>
        <w:t>Long Jeffreys quote ending “we adopt the less remarkable coincidence”</w:t>
      </w:r>
    </w:p>
    <w:p>
      <w:r>
        <w:rPr>
          <w:b/>
        </w:rPr>
        <w:t xml:space="preserve">Comment: </w:t>
      </w:r>
      <w:r>
        <w:t>The quote is valuable but dense. A one-paragraph translation would help readers retain the main point before moving to the Z=3 examples.</w:t>
      </w:r>
    </w:p>
    <w:p>
      <w:r>
        <w:rPr>
          <w:b/>
        </w:rPr>
        <w:t xml:space="preserve">Suggested edit: </w:t>
      </w:r>
      <w:r>
        <w:t>Suggested insert: “In the notation used here, Jeffreys’s x_0 is the observed discrepancy θ̂−θ_0, σ is the standard error se(θ̂), n is the sample size, and m is the width of the range of plausible values under H_1. Thus a fixed standardized discrepancy Z=|θ̂−θ_0|/se(θ̂) does not have fixed evidential meaning. As n increases, se(θ̂) decreases, so the same Z corresponds to a smaller raw effect. Such a small raw effect may be quite consistent with H_0, whereas under a diffuse H_1 it requires the parameter to fall in an increasingly narrow neighborhood of the null value.”</w:t>
      </w:r>
    </w:p>
    <w:p>
      <w:pPr>
        <w:pStyle w:val="Heading3"/>
      </w:pPr>
      <w:r>
        <w:t>C2-10 - Jeffreys-Lindley statement: qualify H_1</w:t>
      </w:r>
    </w:p>
    <w:p>
      <w:r>
        <w:rPr>
          <w:b/>
        </w:rPr>
        <w:t xml:space="preserve">Severity: </w:t>
      </w:r>
      <w:r>
        <w:rPr>
          <w:b/>
          <w:color w:val="9C5700"/>
        </w:rPr>
        <w:t>Medium</w:t>
      </w:r>
    </w:p>
    <w:p>
      <w:r>
        <w:rPr>
          <w:b/>
        </w:rPr>
        <w:t xml:space="preserve">Location: </w:t>
      </w:r>
      <w:r>
        <w:t>PDF p. 30 / printed p. 36</w:t>
      </w:r>
    </w:p>
    <w:p>
      <w:r>
        <w:rPr>
          <w:b/>
        </w:rPr>
        <w:t xml:space="preserve">Anchor: </w:t>
      </w:r>
      <w:r>
        <w:t>“any fixed Z is ultimately more likely to occur under H_0 than under H_1”</w:t>
      </w:r>
    </w:p>
    <w:p>
      <w:r>
        <w:rPr>
          <w:b/>
        </w:rPr>
        <w:t xml:space="preserve">Comment: </w:t>
      </w:r>
      <w:r>
        <w:t>This is right for the fixed, diffuse alternative under discussion, but it is not universal for every possible H_1. For example, local alternatives can scale with n.</w:t>
      </w:r>
    </w:p>
    <w:p>
      <w:r>
        <w:rPr>
          <w:b/>
        </w:rPr>
        <w:t xml:space="preserve">Suggested edit: </w:t>
      </w:r>
      <w:r>
        <w:t>Use: “... any fixed Z is ultimately more likely to occur under H_0 than under a fixed, diffuse alternative such as the one considered here.”</w:t>
      </w:r>
    </w:p>
    <w:p>
      <w:pPr>
        <w:pStyle w:val="Heading3"/>
      </w:pPr>
      <w:r>
        <w:t>C2-11 - Optional-stopping footnote</w:t>
      </w:r>
    </w:p>
    <w:p>
      <w:r>
        <w:rPr>
          <w:b/>
        </w:rPr>
        <w:t xml:space="preserve">Severity: </w:t>
      </w:r>
      <w:r>
        <w:rPr>
          <w:b/>
          <w:color w:val="C00000"/>
        </w:rPr>
        <w:t>High</w:t>
      </w:r>
    </w:p>
    <w:p>
      <w:r>
        <w:rPr>
          <w:b/>
        </w:rPr>
        <w:t xml:space="preserve">Location: </w:t>
      </w:r>
      <w:r>
        <w:t>PDF p. 32 / printed p. 38</w:t>
      </w:r>
    </w:p>
    <w:p>
      <w:r>
        <w:rPr>
          <w:b/>
        </w:rPr>
        <w:t xml:space="preserve">Anchor: </w:t>
      </w:r>
      <w:r>
        <w:t>“where the stopping rule itself carries information about the parameter”</w:t>
      </w:r>
    </w:p>
    <w:p>
      <w:r>
        <w:rPr>
          <w:b/>
        </w:rPr>
        <w:t xml:space="preserve">Comment: </w:t>
      </w:r>
      <w:r>
        <w:t>This is close, but it risks saying that a noninformative stopping rule affects the likelihood kernel. More precisely, the observed stopping time is informative when the probability of stopping at the observed point depends on θ, conditional on the observed data.</w:t>
      </w:r>
    </w:p>
    <w:p>
      <w:r>
        <w:rPr>
          <w:b/>
        </w:rPr>
        <w:t xml:space="preserve">Suggested edit: </w:t>
      </w:r>
      <w:r>
        <w:t>Use: “For exceptions, where the probability of stopping at the observed point depends on the parameter, and for an in-depth treatment see Berger and Wolpert (1988).” Alternatively: “where the observed stopping time itself carries information about the parameter.”</w:t>
      </w:r>
    </w:p>
    <w:p>
      <w:pPr>
        <w:pStyle w:val="Heading3"/>
      </w:pPr>
      <w:r>
        <w:t>C2-12 - “Practical application” idiom</w:t>
      </w:r>
    </w:p>
    <w:p>
      <w:r>
        <w:rPr>
          <w:b/>
        </w:rPr>
        <w:t xml:space="preserve">Severity: </w:t>
      </w:r>
      <w:r>
        <w:t>Low</w:t>
      </w:r>
    </w:p>
    <w:p>
      <w:r>
        <w:rPr>
          <w:b/>
        </w:rPr>
        <w:t xml:space="preserve">Location: </w:t>
      </w:r>
      <w:r>
        <w:t>PDF p. 32 / printed p. 38</w:t>
      </w:r>
    </w:p>
    <w:p>
      <w:r>
        <w:rPr>
          <w:b/>
        </w:rPr>
        <w:t xml:space="preserve">Anchor: </w:t>
      </w:r>
      <w:r>
        <w:t>“near-equivalence of p-values and Bayes factors in practical application”</w:t>
      </w:r>
    </w:p>
    <w:p>
      <w:r>
        <w:rPr>
          <w:b/>
        </w:rPr>
        <w:t xml:space="preserve">Comment: </w:t>
      </w:r>
      <w:r>
        <w:t>Small idiom/number issue.</w:t>
      </w:r>
    </w:p>
    <w:p>
      <w:r>
        <w:rPr>
          <w:b/>
        </w:rPr>
        <w:t xml:space="preserve">Suggested edit: </w:t>
      </w:r>
      <w:r>
        <w:t>Use “in practical applications” or simply “in practice.”</w:t>
      </w:r>
    </w:p>
    <w:p>
      <w:pPr>
        <w:pStyle w:val="Heading3"/>
      </w:pPr>
      <w:r>
        <w:t>C2-13 - Gosset[1926] spacing</w:t>
      </w:r>
    </w:p>
    <w:p>
      <w:r>
        <w:rPr>
          <w:b/>
        </w:rPr>
        <w:t xml:space="preserve">Severity: </w:t>
      </w:r>
      <w:r>
        <w:t>Low</w:t>
      </w:r>
    </w:p>
    <w:p>
      <w:r>
        <w:rPr>
          <w:b/>
        </w:rPr>
        <w:t xml:space="preserve">Location: </w:t>
      </w:r>
      <w:r>
        <w:t>PDF pp. 33-34 / printed pp. 39-40</w:t>
      </w:r>
    </w:p>
    <w:p>
      <w:r>
        <w:rPr>
          <w:b/>
        </w:rPr>
        <w:t xml:space="preserve">Anchor: </w:t>
      </w:r>
      <w:r>
        <w:t>“Gosset[1926]”</w:t>
      </w:r>
    </w:p>
    <w:p>
      <w:r>
        <w:rPr>
          <w:b/>
        </w:rPr>
        <w:t xml:space="preserve">Comment: </w:t>
      </w:r>
      <w:r>
        <w:t>If this is not a verbatim transcription of the source, add a space before the bracket for readability. If it is verbatim, leave it.</w:t>
      </w:r>
    </w:p>
    <w:p>
      <w:r>
        <w:rPr>
          <w:b/>
        </w:rPr>
        <w:t xml:space="preserve">Suggested edit: </w:t>
      </w:r>
      <w:r>
        <w:t>Use “Gosset [1926]” unless the no-space version is in the original quotation.</w:t>
      </w:r>
    </w:p>
    <w:p>
      <w:pPr>
        <w:pStyle w:val="Heading2"/>
      </w:pPr>
      <w:r>
        <w:t>Bibliography and references</w:t>
      </w:r>
    </w:p>
    <w:p>
      <w:pPr>
        <w:pStyle w:val="Heading3"/>
      </w:pPr>
      <w:r>
        <w:t>REF-01 - Jeffreys 1935 journal title</w:t>
      </w:r>
    </w:p>
    <w:p>
      <w:r>
        <w:rPr>
          <w:b/>
        </w:rPr>
        <w:t xml:space="preserve">Severity: </w:t>
      </w:r>
      <w:r>
        <w:t>Low</w:t>
      </w:r>
    </w:p>
    <w:p>
      <w:r>
        <w:rPr>
          <w:b/>
        </w:rPr>
        <w:t xml:space="preserve">Location: </w:t>
      </w:r>
      <w:r>
        <w:t>PDF p. 37 / printed p. 43</w:t>
      </w:r>
    </w:p>
    <w:p>
      <w:r>
        <w:rPr>
          <w:b/>
        </w:rPr>
        <w:t xml:space="preserve">Anchor: </w:t>
      </w:r>
      <w:r>
        <w:t>“Proceedings of the Cambridge Philosophy Society”</w:t>
      </w:r>
    </w:p>
    <w:p>
      <w:r>
        <w:rPr>
          <w:b/>
        </w:rPr>
        <w:t xml:space="preserve">Comment: </w:t>
      </w:r>
      <w:r>
        <w:t>The journal title is normally “Proceedings of the Cambridge Philosophical Society.”</w:t>
      </w:r>
    </w:p>
    <w:p>
      <w:r>
        <w:rPr>
          <w:b/>
        </w:rPr>
        <w:t xml:space="preserve">Suggested edit: </w:t>
      </w:r>
      <w:r>
        <w:t>Change the journal title to “Proceedings of the Cambridge Philosophical Society.”</w:t>
      </w:r>
    </w:p>
    <w:p>
      <w:pPr>
        <w:pStyle w:val="Heading1"/>
      </w:pPr>
      <w:r>
        <w:t>End of review</w:t>
      </w:r>
    </w:p>
    <w:p>
      <w:r>
        <w:t>Overall, this revision has resolved most of the earlier high-priority issues. The remaining changes are concentrated and should be relatively quick to implement.</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eastAsia="Aptos"/>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basedOn w:val="Normal"/>
    <w:rPr>
      <w:i/>
      <w:sz w:val="18"/>
    </w:rPr>
  </w:style>
  <w:style w:type="paragraph" w:customStyle="1" w:styleId="CodeSuggestion">
    <w:name w:val="Code Suggestion"/>
    <w:basedOn w:val="Normal"/>
    <w:pPr>
      <w:spacing w:before="40" w:after="120"/>
      <w:ind w:left="360" w:right="144"/>
    </w:pPr>
    <w:rPr>
      <w:rFonts w:ascii="Courier New" w:hAnsi="Courier New" w:eastAsia="Courier New"/>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